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Қазақстанда </w:t>
      </w:r>
      <w:hyperlink r:id="rId5" w:history="1">
        <w:r w:rsidRPr="00F12631">
          <w:rPr>
            <w:rFonts w:ascii="Times New Roman" w:eastAsia="Times New Roman" w:hAnsi="Times New Roman" w:cs="Times New Roman"/>
            <w:color w:val="094A86"/>
            <w:sz w:val="24"/>
            <w:szCs w:val="24"/>
            <w:lang w:eastAsia="ru-RU"/>
          </w:rPr>
          <w:t xml:space="preserve">жалпы </w:t>
        </w:r>
        <w:proofErr w:type="spellStart"/>
        <w:r w:rsidRPr="00F12631">
          <w:rPr>
            <w:rFonts w:ascii="Times New Roman" w:eastAsia="Times New Roman" w:hAnsi="Times New Roman" w:cs="Times New Roman"/>
            <w:color w:val="094A86"/>
            <w:sz w:val="24"/>
            <w:szCs w:val="24"/>
            <w:lang w:eastAsia="ru-RU"/>
          </w:rPr>
          <w:t>бі</w:t>
        </w:r>
        <w:proofErr w:type="gramStart"/>
        <w:r w:rsidRPr="00F12631">
          <w:rPr>
            <w:rFonts w:ascii="Times New Roman" w:eastAsia="Times New Roman" w:hAnsi="Times New Roman" w:cs="Times New Roman"/>
            <w:color w:val="094A86"/>
            <w:sz w:val="24"/>
            <w:szCs w:val="24"/>
            <w:lang w:eastAsia="ru-RU"/>
          </w:rPr>
          <w:t>л</w:t>
        </w:r>
        <w:proofErr w:type="gramEnd"/>
        <w:r w:rsidRPr="00F12631">
          <w:rPr>
            <w:rFonts w:ascii="Times New Roman" w:eastAsia="Times New Roman" w:hAnsi="Times New Roman" w:cs="Times New Roman"/>
            <w:color w:val="094A86"/>
            <w:sz w:val="24"/>
            <w:szCs w:val="24"/>
            <w:lang w:eastAsia="ru-RU"/>
          </w:rPr>
          <w:t>ім</w:t>
        </w:r>
        <w:proofErr w:type="spellEnd"/>
        <w:r w:rsidRPr="00F12631">
          <w:rPr>
            <w:rFonts w:ascii="Times New Roman" w:eastAsia="Times New Roman" w:hAnsi="Times New Roman" w:cs="Times New Roman"/>
            <w:color w:val="094A86"/>
            <w:sz w:val="24"/>
            <w:szCs w:val="24"/>
            <w:lang w:eastAsia="ru-RU"/>
          </w:rPr>
          <w:t xml:space="preserve">  </w:t>
        </w:r>
        <w:proofErr w:type="spellStart"/>
        <w:r w:rsidRPr="00F12631">
          <w:rPr>
            <w:rFonts w:ascii="Times New Roman" w:eastAsia="Times New Roman" w:hAnsi="Times New Roman" w:cs="Times New Roman"/>
            <w:color w:val="094A86"/>
            <w:sz w:val="24"/>
            <w:szCs w:val="24"/>
            <w:lang w:eastAsia="ru-RU"/>
          </w:rPr>
          <w:t>беретін</w:t>
        </w:r>
        <w:proofErr w:type="spellEnd"/>
        <w:r w:rsidRPr="00F12631">
          <w:rPr>
            <w:rFonts w:ascii="Times New Roman" w:eastAsia="Times New Roman" w:hAnsi="Times New Roman" w:cs="Times New Roman"/>
            <w:color w:val="094A86"/>
            <w:sz w:val="24"/>
            <w:szCs w:val="24"/>
            <w:lang w:eastAsia="ru-RU"/>
          </w:rPr>
          <w:t xml:space="preserve"> мектептердің</w:t>
        </w:r>
      </w:hyperlink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түлектерін Ұлттық бірыңғай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(ҰБТ) өтеді.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түлектер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мыналарды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тапсыратын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Мектептердегі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емтихандар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(орта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“Алтын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үшін).</w:t>
      </w:r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ҰБТ, ЖОО түсу үшін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емтихандар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функцияларын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гранттарды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жүйелерін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орындайтын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ҰБТ ағымдағы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берудің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беретін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 бағдарламаларын меңгерген,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меншік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нысанына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ведомстволық бағыныстылығына қарамастан, ағымдағы оқу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жылында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жоғары оқу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орындарына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түсуге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ниет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білдірген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түлектері үшін өткізіледі.</w:t>
      </w:r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түлегі қазақстан қазақстандық институт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университетке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түспеймін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оқимын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қандай да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университетеіне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түсемін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шешсе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ҰБТ-ге бармауға құқығы бар.</w:t>
      </w:r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631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Мектептерде</w:t>
      </w:r>
      <w:proofErr w:type="spellEnd"/>
      <w:r w:rsidRPr="00F12631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proofErr w:type="gramStart"/>
      <w:r w:rsidRPr="00F12631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</w:t>
      </w:r>
      <w:proofErr w:type="gramEnd"/>
      <w:r w:rsidRPr="00F12631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әндер </w:t>
      </w:r>
      <w:proofErr w:type="spellStart"/>
      <w:r w:rsidRPr="00F12631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бойынша</w:t>
      </w:r>
      <w:proofErr w:type="spellEnd"/>
      <w:r w:rsidRPr="00F12631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қорытынды </w:t>
      </w:r>
      <w:proofErr w:type="spellStart"/>
      <w:r w:rsidRPr="00F12631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аттестаттау</w:t>
      </w:r>
      <w:proofErr w:type="spellEnd"/>
      <w:r w:rsidRPr="00F12631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өткізіледі:</w:t>
      </w:r>
    </w:p>
    <w:p w:rsidR="00F12631" w:rsidRPr="00F12631" w:rsidRDefault="00F12631" w:rsidP="00F126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әдебиет (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жазбаша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эссе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нысанында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12631" w:rsidRPr="00F12631" w:rsidRDefault="00F12631" w:rsidP="00F126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Орыс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өзбек, ұйғыр және 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тілдерінде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оқыту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мектептеріндегі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қазақ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Қазақ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оқыту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мектептеріндегі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орыс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12631" w:rsidRPr="00F12631" w:rsidRDefault="00F12631" w:rsidP="00F126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Қазақстан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ауызша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12631" w:rsidRPr="00F12631" w:rsidRDefault="00F12631" w:rsidP="00F126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  және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бастамалары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жазбаша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12631" w:rsidRPr="00F12631" w:rsidRDefault="00F12631" w:rsidP="00F126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Таңдау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ән (физика, химия, биология, география, геометрия, дүниежүзі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әдебиет, ақпараттану,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(ағылшын, француз,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неміс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нысанында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Қорытынды </w:t>
      </w:r>
      <w:proofErr w:type="spellStart"/>
      <w:r w:rsidRPr="00F12631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аттестатауды</w:t>
      </w:r>
      <w:proofErr w:type="spellEnd"/>
      <w:r w:rsidRPr="00F12631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өткізу тәртібі</w:t>
      </w: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7"/>
        <w:gridCol w:w="4690"/>
      </w:tblGrid>
      <w:tr w:rsidR="00F12631" w:rsidRPr="00F12631" w:rsidTr="00F12631">
        <w:trPr>
          <w:jc w:val="center"/>
        </w:trPr>
        <w:tc>
          <w:tcPr>
            <w:tcW w:w="5917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</w:p>
        </w:tc>
        <w:tc>
          <w:tcPr>
            <w:tcW w:w="4690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нысаны</w:t>
            </w:r>
            <w:proofErr w:type="spellEnd"/>
          </w:p>
        </w:tc>
      </w:tr>
      <w:tr w:rsidR="00F12631" w:rsidRPr="00F12631" w:rsidTr="00F12631">
        <w:trPr>
          <w:jc w:val="center"/>
        </w:trPr>
        <w:tc>
          <w:tcPr>
            <w:tcW w:w="5917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  (оқыту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0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Жазбаша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эссе</w:t>
            </w:r>
          </w:p>
        </w:tc>
      </w:tr>
      <w:tr w:rsidR="00F12631" w:rsidRPr="00F12631" w:rsidTr="00F12631">
        <w:trPr>
          <w:jc w:val="center"/>
        </w:trPr>
        <w:tc>
          <w:tcPr>
            <w:tcW w:w="5917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өзбек, ұйғып және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ік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тілді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оқыту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мектептеріндегі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қазақ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тілі.Тестілеу</w:t>
            </w:r>
            <w:proofErr w:type="spellEnd"/>
          </w:p>
        </w:tc>
        <w:tc>
          <w:tcPr>
            <w:tcW w:w="4690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Тестілеу</w:t>
            </w:r>
            <w:proofErr w:type="spellEnd"/>
          </w:p>
        </w:tc>
      </w:tr>
      <w:tr w:rsidR="00F12631" w:rsidRPr="00F12631" w:rsidTr="00F12631">
        <w:trPr>
          <w:jc w:val="center"/>
        </w:trPr>
        <w:tc>
          <w:tcPr>
            <w:tcW w:w="5917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(оқыту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0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Ауызша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F12631" w:rsidRPr="00F12631" w:rsidTr="00F12631">
        <w:trPr>
          <w:jc w:val="center"/>
        </w:trPr>
        <w:tc>
          <w:tcPr>
            <w:tcW w:w="5917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  және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бастамалары</w:t>
            </w:r>
            <w:proofErr w:type="spellEnd"/>
          </w:p>
        </w:tc>
        <w:tc>
          <w:tcPr>
            <w:tcW w:w="4690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Жазбаша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F12631" w:rsidRPr="00F12631" w:rsidTr="00F12631">
        <w:trPr>
          <w:jc w:val="center"/>
        </w:trPr>
        <w:tc>
          <w:tcPr>
            <w:tcW w:w="5917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Таңдау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әні (физика, информатика, Геометрия, химия, Биология, география, дүниежүзі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әдебиет,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(ағылшын,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неміс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француз)</w:t>
            </w:r>
          </w:p>
        </w:tc>
        <w:tc>
          <w:tcPr>
            <w:tcW w:w="4690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Олардың оқыту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саласын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ескерумен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тестілеу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(қоғамды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гуманитарлық және жаратылыстану-математикалық бағыты)</w:t>
            </w:r>
          </w:p>
        </w:tc>
      </w:tr>
    </w:tbl>
    <w:p w:rsidR="00A12B13" w:rsidRPr="00F12631" w:rsidRDefault="00A12B13" w:rsidP="00F12631">
      <w:pPr>
        <w:rPr>
          <w:rFonts w:ascii="Times New Roman" w:hAnsi="Times New Roman" w:cs="Times New Roman"/>
          <w:sz w:val="24"/>
          <w:szCs w:val="24"/>
        </w:rPr>
      </w:pPr>
    </w:p>
    <w:p w:rsidR="00F12631" w:rsidRPr="00F12631" w:rsidRDefault="00F12631" w:rsidP="00F126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F1263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AFAFA"/>
        </w:rPr>
        <w:t xml:space="preserve">Ұлттық бірыңғай </w:t>
      </w:r>
      <w:proofErr w:type="spellStart"/>
      <w:r w:rsidRPr="00F1263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AFAFA"/>
        </w:rPr>
        <w:t>тестілеу</w:t>
      </w:r>
      <w:proofErr w:type="spellEnd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- ҰБТ – жоғары және (</w:t>
      </w:r>
      <w:proofErr w:type="spellStart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немесе</w:t>
      </w:r>
      <w:proofErr w:type="spellEnd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) жоғары оқу </w:t>
      </w:r>
      <w:proofErr w:type="spellStart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орнынан</w:t>
      </w:r>
      <w:proofErr w:type="spellEnd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кейінгі</w:t>
      </w:r>
      <w:proofErr w:type="spellEnd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білім</w:t>
      </w:r>
      <w:proofErr w:type="spellEnd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беру ұйымдарына түсуге арналған </w:t>
      </w:r>
      <w:proofErr w:type="spellStart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і</w:t>
      </w:r>
      <w:proofErr w:type="gramStart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</w:t>
      </w:r>
      <w:proofErr w:type="gramEnd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іктеу</w:t>
      </w:r>
      <w:proofErr w:type="spellEnd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емтихандарының </w:t>
      </w:r>
      <w:proofErr w:type="spellStart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бір</w:t>
      </w:r>
      <w:proofErr w:type="spellEnd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нысаны</w:t>
      </w:r>
      <w:proofErr w:type="spellEnd"/>
      <w:r w:rsidRPr="00F1263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ҰБТ өткізіледі</w:t>
      </w: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2631" w:rsidRPr="00F12631" w:rsidRDefault="00F12631" w:rsidP="00F1263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ЖОО-ға 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қылы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оқуға қабылдау үшін орта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ұйымдарының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бітіруші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(12)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оқушыларына;</w:t>
      </w:r>
    </w:p>
    <w:p w:rsidR="00F12631" w:rsidRPr="00F12631" w:rsidRDefault="00F12631" w:rsidP="00F1263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республикалық бюджет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жергілікті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қаражаты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есебінен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грантын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конкурсына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қатысу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ЖОО-ға 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қылы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оқуға қабылдау үшін орта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ұйымдарының ағымдағы жылғы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бітірушілеріне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631" w:rsidRPr="00F12631" w:rsidRDefault="00F12631" w:rsidP="00F1263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республикалық бюджет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жергілікті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қаражаты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есебінен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грантын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конкурсына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қатысу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ЖОО-ға 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қылы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оқуға қабылдау үшін орта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ұйымдарының өткен жылғы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бітірушілері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техникалық және кәсіптік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білімнен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ұйымдарының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бітірушілеріне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631" w:rsidRPr="00F12631" w:rsidRDefault="00F12631" w:rsidP="00F1263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республикалық бюджет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жергілікті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қаражаты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есебінен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грантын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конкурсына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қатысу үшін жоғары білімнің қысқартылған оқыту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мерзімдерін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көздейтін 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бағдарламалары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оқуға түсетін техникалық және кәсі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білімнен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ұйымдарының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бітірушілеріне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631" w:rsidRPr="00F12631" w:rsidRDefault="00F12631" w:rsidP="00F1263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республикалық бюджет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жергілікті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қаражаты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есебінен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грантын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конкурсына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қатысу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ЖОО-ға 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қылы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оқуға қабылдау үшін халықаралық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алмасу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желісі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алған орта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ұйымдарының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бітірушілері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алған, Қазақстан Республикасының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табылмайтын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ұлты қазақ адамдарға;</w:t>
      </w:r>
    </w:p>
    <w:p w:rsidR="00F12631" w:rsidRPr="00F12631" w:rsidRDefault="00F12631" w:rsidP="00F1263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ЖОО-ға 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қылы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қабылдау үшін жоғары оқу орнының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бірінші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академиялық кезеңі аяқталғанға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күндізгі оқу бөліміне ақылы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қабылданған адамдарға;</w:t>
      </w:r>
    </w:p>
    <w:p w:rsidR="00F12631" w:rsidRPr="00F12631" w:rsidRDefault="00F12631" w:rsidP="00F1263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ЖОО-ның шығармашылық дайындықты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ететін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бағдарламалары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топтарында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оқитын  және 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бағдарламалары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топтарына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ауысқысы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келетін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Өткізу </w:t>
      </w:r>
      <w:proofErr w:type="spellStart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формасы</w:t>
      </w:r>
      <w:proofErr w:type="spellEnd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Өткізілеті</w:t>
      </w:r>
      <w:proofErr w:type="gramStart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 </w:t>
      </w:r>
      <w:proofErr w:type="spellStart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орны</w:t>
      </w:r>
      <w:proofErr w:type="spellEnd"/>
      <w:proofErr w:type="gramEnd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ҰБТ өткізу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пункттері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526"/>
        <w:gridCol w:w="1516"/>
        <w:gridCol w:w="5103"/>
        <w:gridCol w:w="1418"/>
      </w:tblGrid>
      <w:tr w:rsidR="00F12631" w:rsidRPr="00F12631" w:rsidTr="00F12631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Өтініш қабылдау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мерзі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Тестілеу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мерзі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Қатысушылар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ҰБТ  өткізіледі</w:t>
            </w:r>
          </w:p>
        </w:tc>
      </w:tr>
      <w:tr w:rsidR="00F12631" w:rsidRPr="00F12631" w:rsidTr="00F12631">
        <w:trPr>
          <w:trHeight w:val="763"/>
        </w:trPr>
        <w:tc>
          <w:tcPr>
            <w:tcW w:w="15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және 15 желтоқсан аралығы</w:t>
            </w:r>
          </w:p>
        </w:tc>
        <w:tc>
          <w:tcPr>
            <w:tcW w:w="1417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және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қаңтар аралығы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ЖОО-ға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қылы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оқуға қабылдау үшін орта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ұйымдарының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(12)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оқушылары;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*ақылы</w:t>
            </w:r>
          </w:p>
        </w:tc>
      </w:tr>
      <w:tr w:rsidR="00F12631" w:rsidRPr="00F12631" w:rsidTr="00F12631">
        <w:trPr>
          <w:trHeight w:val="1058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ЖОО-ға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қылы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қабылдау үшін жоғары оқу орнының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академиялық кезеңі аяқталғанға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күндізгі оқу бөліміне ақылы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қабылданған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*ақылы</w:t>
            </w:r>
          </w:p>
        </w:tc>
      </w:tr>
      <w:tr w:rsidR="00F12631" w:rsidRPr="00F12631" w:rsidTr="00F12631">
        <w:trPr>
          <w:trHeight w:val="27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ЖОО-ның шығармашылық дайындықты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бағдарламалары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топтарында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оқитын  және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бағдарламалары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топтарына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ауысқысы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келетін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*ақылы</w:t>
            </w:r>
          </w:p>
        </w:tc>
      </w:tr>
      <w:tr w:rsidR="00F12631" w:rsidRPr="00F12631" w:rsidTr="00F12631">
        <w:trPr>
          <w:trHeight w:val="700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және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ақпан аралығы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және 29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аралығы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ЖОО-ға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қылы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оқуға қабылдау үшін орта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ұйымдарының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(12)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оқушылары;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*ақылы</w:t>
            </w:r>
          </w:p>
        </w:tc>
      </w:tr>
      <w:tr w:rsidR="00F12631" w:rsidRPr="00F12631" w:rsidTr="00F12631">
        <w:trPr>
          <w:trHeight w:val="1630"/>
        </w:trPr>
        <w:tc>
          <w:tcPr>
            <w:tcW w:w="15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сәуі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және 10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аралығы</w:t>
            </w:r>
          </w:p>
        </w:tc>
        <w:tc>
          <w:tcPr>
            <w:tcW w:w="1417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және 5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шілде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аралығы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республикалық бюджет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қаражаты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есебінен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конкурсына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қатысу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ЖОО-ға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қылы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оқуға қабылдау үшін орта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ұйымдарының ағымдағы жылғы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ақысыз</w:t>
            </w:r>
          </w:p>
        </w:tc>
      </w:tr>
      <w:tr w:rsidR="00F12631" w:rsidRPr="00F12631" w:rsidTr="00F12631">
        <w:trPr>
          <w:trHeight w:val="1028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республикалық бюджет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қаражаты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есебінен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конкурсына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қатысу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ЖОО-ға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қылы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оқуға қабылдау үшін орта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ұйымдарының өткен жылғы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техникалық және кәсіптік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білімнен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кейінгі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ұйымдарының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*ақылы</w:t>
            </w:r>
          </w:p>
        </w:tc>
      </w:tr>
      <w:tr w:rsidR="00F12631" w:rsidRPr="00F12631" w:rsidTr="00F12631">
        <w:trPr>
          <w:trHeight w:val="216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республикалық бюджет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қаражаты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есебінен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конкурсына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қатысу үшін жоғары білімнің қысқартылған оқыту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мерзімдерін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көздейтін 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бағдарламалары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оқуға түсетін техникалық және кәсі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імнен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кейінгі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ұйымдарының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*ақылы</w:t>
            </w:r>
          </w:p>
        </w:tc>
      </w:tr>
      <w:tr w:rsidR="00F12631" w:rsidRPr="00F12631" w:rsidTr="00F12631">
        <w:trPr>
          <w:trHeight w:val="1900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10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5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аралығы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5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шілде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аралығы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республикалық бюджет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қаражаты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есебінен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конкурсына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қатысу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ЖОО-ға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қылы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оқуға қабылдау үшін халықаралық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алмасу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желісі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алған орта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ұйымдарының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алған, Қазақстан Республикасының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азаматы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табылмайтын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ұлты қазақ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*ақылы</w:t>
            </w:r>
          </w:p>
        </w:tc>
      </w:tr>
      <w:tr w:rsidR="00F12631" w:rsidRPr="00F12631" w:rsidTr="00F12631">
        <w:trPr>
          <w:trHeight w:val="853"/>
        </w:trPr>
        <w:tc>
          <w:tcPr>
            <w:tcW w:w="15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25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шілде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3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тамыз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аралығы</w:t>
            </w:r>
          </w:p>
        </w:tc>
        <w:tc>
          <w:tcPr>
            <w:tcW w:w="1417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және 20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тамыз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аралығы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ЖОО-ға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қылы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оқуға қабылдау үшін орта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ұйымдарының ағымдағы жылғы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*ақылы</w:t>
            </w:r>
          </w:p>
        </w:tc>
      </w:tr>
      <w:tr w:rsidR="00F12631" w:rsidRPr="00F12631" w:rsidTr="00F12631">
        <w:trPr>
          <w:trHeight w:val="141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ЖОО-ға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қылы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оқуға қабылдау  үшін орта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ұйымдарының өткен жылғы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техникалық және кәсіптік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білімнен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кейінгі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ұйымдарының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*ақылы</w:t>
            </w:r>
          </w:p>
        </w:tc>
      </w:tr>
      <w:tr w:rsidR="00F12631" w:rsidRPr="00F12631" w:rsidTr="00F12631">
        <w:trPr>
          <w:trHeight w:val="155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ЖОО-ға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қылы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оқуға қабылдау үшін халықаралық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алмасу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желісі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алған орта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ұйымдарының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алған, Қазақстан Республикасының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азаматы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табылмайтын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ұлты қазақ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*ақылы</w:t>
            </w:r>
          </w:p>
        </w:tc>
      </w:tr>
      <w:tr w:rsidR="00F12631" w:rsidRPr="00F12631" w:rsidTr="00F12631">
        <w:trPr>
          <w:trHeight w:val="126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ЖОО-ның шығармашылық дайындықты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бағдарламалары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топтарында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оқитын  және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бағдарламалары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топтарына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ауысқысы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келетін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*ақылы</w:t>
            </w:r>
          </w:p>
        </w:tc>
      </w:tr>
    </w:tbl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 xml:space="preserve">* - </w:t>
      </w:r>
      <w:proofErr w:type="spellStart"/>
      <w:r w:rsidRPr="00F1263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>тестілеу</w:t>
      </w:r>
      <w:proofErr w:type="spellEnd"/>
      <w:r w:rsidRPr="00F1263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 xml:space="preserve"> бағасы – 2242 теңге.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Ұлттық бірыңғай </w:t>
      </w:r>
      <w:proofErr w:type="spellStart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тестілеуге</w:t>
      </w:r>
      <w:proofErr w:type="spellEnd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қатысу үшін төлемді Қазақстан Республикасының барлық </w:t>
      </w:r>
      <w:proofErr w:type="spellStart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екінші</w:t>
      </w:r>
      <w:proofErr w:type="spellEnd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деңгейлі </w:t>
      </w:r>
      <w:proofErr w:type="spellStart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банктері</w:t>
      </w:r>
      <w:proofErr w:type="spellEnd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кассасынан</w:t>
      </w:r>
      <w:proofErr w:type="spellEnd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төмендегі реквизит </w:t>
      </w:r>
      <w:proofErr w:type="spellStart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жасау</w:t>
      </w:r>
      <w:proofErr w:type="gramEnd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ға </w:t>
      </w:r>
      <w:proofErr w:type="spellStart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болады</w:t>
      </w:r>
      <w:proofErr w:type="spellEnd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«Ұлттық </w:t>
      </w:r>
      <w:proofErr w:type="spellStart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тестілеу</w:t>
      </w:r>
      <w:proofErr w:type="spellEnd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орталығы» РМҚК  Қ</w:t>
      </w:r>
      <w:proofErr w:type="gramStart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БҒМ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010011 Астана қ., Жең</w:t>
      </w:r>
      <w:proofErr w:type="gramStart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</w:t>
      </w:r>
      <w:proofErr w:type="gramEnd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 д., 60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БИН 000140001853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ИИК KZ536010111000001515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БИК HSBKKZKX     КБ</w:t>
      </w:r>
      <w:proofErr w:type="gramStart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E</w:t>
      </w:r>
      <w:proofErr w:type="gramEnd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16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«Қазақстан Халық </w:t>
      </w:r>
      <w:proofErr w:type="spellStart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Банкі</w:t>
      </w:r>
      <w:proofErr w:type="spellEnd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 АҚ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 xml:space="preserve">Төлемнің </w:t>
      </w:r>
      <w:proofErr w:type="spellStart"/>
      <w:r w:rsidRPr="00F1263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>атауы</w:t>
      </w:r>
      <w:proofErr w:type="spellEnd"/>
      <w:r w:rsidRPr="00F1263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 xml:space="preserve"> – "</w:t>
      </w:r>
      <w:proofErr w:type="spellStart"/>
      <w:r w:rsidRPr="00F1263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>Кешенді</w:t>
      </w:r>
      <w:proofErr w:type="spellEnd"/>
      <w:r w:rsidRPr="00F1263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>тестілеу</w:t>
      </w:r>
      <w:proofErr w:type="spellEnd"/>
      <w:r w:rsidRPr="00F1263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 xml:space="preserve"> үшін" (2242 теңге).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Сондай-ақ «Қазақстан Халық </w:t>
      </w:r>
      <w:proofErr w:type="spellStart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Банкі</w:t>
      </w:r>
      <w:proofErr w:type="spellEnd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» АҚ </w:t>
      </w:r>
      <w:proofErr w:type="spellStart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терминалдары</w:t>
      </w:r>
      <w:proofErr w:type="spellEnd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арқылы ғ</w:t>
      </w:r>
      <w:proofErr w:type="gramStart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ана т</w:t>
      </w:r>
      <w:proofErr w:type="gramEnd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өлем жасауға </w:t>
      </w:r>
      <w:proofErr w:type="spellStart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болады</w:t>
      </w:r>
      <w:proofErr w:type="spellEnd"/>
      <w:r w:rsidRPr="00F1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Бақылаушылар: </w:t>
      </w: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Министрлік ө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ілдері.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Апелляция: </w:t>
      </w: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қарастырылған.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ҰБТ форматы: </w:t>
      </w: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ән (3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бейіндік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                  Барлық тест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саны —120.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Тестілеудің </w:t>
      </w:r>
      <w:proofErr w:type="spellStart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жалпы</w:t>
      </w:r>
      <w:proofErr w:type="spellEnd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уақыты</w:t>
      </w: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 сағат 50 минут (230 минут)</w:t>
      </w:r>
    </w:p>
    <w:tbl>
      <w:tblPr>
        <w:tblW w:w="10500" w:type="dxa"/>
        <w:jc w:val="center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65"/>
        <w:gridCol w:w="3289"/>
        <w:gridCol w:w="2749"/>
        <w:gridCol w:w="3497"/>
      </w:tblGrid>
      <w:tr w:rsidR="00F12631" w:rsidRPr="00F12631" w:rsidTr="00F12631">
        <w:trPr>
          <w:trHeight w:val="944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7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7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Тестілеу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әндері</w:t>
            </w:r>
          </w:p>
        </w:tc>
        <w:tc>
          <w:tcPr>
            <w:tcW w:w="24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7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Тапсырмалар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саны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7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Тапсырмалар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формасы</w:t>
            </w:r>
            <w:proofErr w:type="spellEnd"/>
          </w:p>
        </w:tc>
      </w:tr>
      <w:tr w:rsidR="00F12631" w:rsidRPr="00F12631" w:rsidTr="00F12631">
        <w:trPr>
          <w:trHeight w:val="559"/>
          <w:jc w:val="center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блок</w:t>
            </w: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Математикалық сауаттылық</w:t>
            </w: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жауаптың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дұрыс</w:t>
            </w:r>
          </w:p>
        </w:tc>
      </w:tr>
      <w:tr w:rsidR="00F12631" w:rsidRPr="00F12631" w:rsidTr="00F12631">
        <w:trPr>
          <w:trHeight w:val="697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 сауаттылығы</w:t>
            </w: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мәтін)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жауаптың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дұрыс</w:t>
            </w:r>
          </w:p>
        </w:tc>
      </w:tr>
      <w:tr w:rsidR="00F12631" w:rsidRPr="00F12631" w:rsidTr="00F12631">
        <w:trPr>
          <w:trHeight w:val="63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жауаптың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дұрыс</w:t>
            </w:r>
          </w:p>
        </w:tc>
      </w:tr>
      <w:tr w:rsidR="00F12631" w:rsidRPr="00F12631" w:rsidTr="00F12631">
        <w:trPr>
          <w:trHeight w:val="535"/>
          <w:jc w:val="center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блок</w:t>
            </w: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4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бейінді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жауаптың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дұрыс</w:t>
            </w:r>
          </w:p>
        </w:tc>
      </w:tr>
      <w:tr w:rsidR="00F12631" w:rsidRPr="00F12631" w:rsidTr="00F12631">
        <w:trPr>
          <w:trHeight w:val="52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бірнеше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дұрыс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</w:tr>
      <w:tr w:rsidR="00F12631" w:rsidRPr="00F12631" w:rsidTr="00F12631">
        <w:trPr>
          <w:trHeight w:val="523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бейінді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жауаптың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дұрыс</w:t>
            </w:r>
          </w:p>
        </w:tc>
      </w:tr>
      <w:tr w:rsidR="00F12631" w:rsidRPr="00F12631" w:rsidTr="00F12631">
        <w:trPr>
          <w:trHeight w:val="531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бірнеше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дұрыс жауапты</w:t>
            </w:r>
          </w:p>
        </w:tc>
      </w:tr>
    </w:tbl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Жоғары балл саны: 140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Шекті</w:t>
      </w:r>
      <w:proofErr w:type="spellEnd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деңгей балы: 50</w:t>
      </w:r>
    </w:p>
    <w:p w:rsidR="00F12631" w:rsidRPr="00F12631" w:rsidRDefault="00F12631" w:rsidP="00F12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Бейінді</w:t>
      </w:r>
      <w:proofErr w:type="spellEnd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әндер таңдайтын </w:t>
      </w:r>
      <w:proofErr w:type="spellStart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беру бағдарламары </w:t>
      </w:r>
      <w:proofErr w:type="spellStart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тобына</w:t>
      </w:r>
      <w:proofErr w:type="spellEnd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байланысты</w:t>
      </w:r>
      <w:proofErr w:type="spellEnd"/>
      <w:r w:rsidRPr="00F1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таңдалады</w:t>
      </w:r>
    </w:p>
    <w:tbl>
      <w:tblPr>
        <w:tblW w:w="10500" w:type="dxa"/>
        <w:jc w:val="center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810"/>
        <w:gridCol w:w="4470"/>
        <w:gridCol w:w="5220"/>
      </w:tblGrid>
      <w:tr w:rsidR="00F12631" w:rsidRPr="00F12631" w:rsidTr="00F12631">
        <w:trPr>
          <w:trHeight w:val="315"/>
          <w:jc w:val="center"/>
        </w:trPr>
        <w:tc>
          <w:tcPr>
            <w:tcW w:w="9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7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Бейінді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әндер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комбинациясы</w:t>
            </w:r>
            <w:proofErr w:type="spellEnd"/>
          </w:p>
        </w:tc>
      </w:tr>
      <w:tr w:rsidR="00F12631" w:rsidRPr="00F12631" w:rsidTr="00F12631">
        <w:trPr>
          <w:trHeight w:val="630"/>
          <w:jc w:val="center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бейінді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ән</w:t>
            </w:r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бейінді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ән</w:t>
            </w:r>
          </w:p>
        </w:tc>
      </w:tr>
      <w:tr w:rsidR="00F12631" w:rsidRPr="00F12631" w:rsidTr="00F12631">
        <w:trPr>
          <w:trHeight w:val="315"/>
          <w:jc w:val="center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F12631" w:rsidRPr="00F12631" w:rsidTr="00F12631">
        <w:trPr>
          <w:trHeight w:val="315"/>
          <w:jc w:val="center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F12631" w:rsidRPr="00F12631" w:rsidTr="00F12631">
        <w:trPr>
          <w:trHeight w:val="315"/>
          <w:jc w:val="center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F12631" w:rsidRPr="00F12631" w:rsidTr="00F12631">
        <w:trPr>
          <w:trHeight w:val="315"/>
          <w:jc w:val="center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F12631" w:rsidRPr="00F12631" w:rsidTr="00F12631">
        <w:trPr>
          <w:trHeight w:val="315"/>
          <w:jc w:val="center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дүниежүзі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</w:tr>
      <w:tr w:rsidR="00F12631" w:rsidRPr="00F12631" w:rsidTr="00F12631">
        <w:trPr>
          <w:trHeight w:val="315"/>
          <w:jc w:val="center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</w:tr>
      <w:tr w:rsidR="00F12631" w:rsidRPr="00F12631" w:rsidTr="00F12631">
        <w:trPr>
          <w:trHeight w:val="315"/>
          <w:jc w:val="center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дүниежүзі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ғам. Құқық</w:t>
            </w:r>
          </w:p>
        </w:tc>
      </w:tr>
      <w:tr w:rsidR="00F12631" w:rsidRPr="00F12631" w:rsidTr="00F12631">
        <w:trPr>
          <w:trHeight w:val="315"/>
          <w:jc w:val="center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дүниежүзі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F12631" w:rsidRPr="00F12631" w:rsidTr="00F12631">
        <w:trPr>
          <w:trHeight w:val="315"/>
          <w:jc w:val="center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қазақ әдебиеті /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әдебиеті</w:t>
            </w:r>
          </w:p>
        </w:tc>
      </w:tr>
      <w:tr w:rsidR="00F12631" w:rsidRPr="00F12631" w:rsidTr="00F12631">
        <w:trPr>
          <w:trHeight w:val="315"/>
          <w:jc w:val="center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F12631" w:rsidRPr="00F12631" w:rsidTr="00F12631">
        <w:trPr>
          <w:trHeight w:val="315"/>
          <w:jc w:val="center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F12631" w:rsidRPr="00F12631" w:rsidRDefault="00F12631" w:rsidP="00F12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</w:t>
            </w:r>
            <w:proofErr w:type="spellStart"/>
            <w:r w:rsidRPr="00F1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</w:tbl>
    <w:p w:rsidR="00F12631" w:rsidRPr="00F12631" w:rsidRDefault="00F12631" w:rsidP="00F12631">
      <w:pPr>
        <w:rPr>
          <w:rFonts w:ascii="Times New Roman" w:hAnsi="Times New Roman" w:cs="Times New Roman"/>
          <w:sz w:val="24"/>
          <w:szCs w:val="24"/>
        </w:rPr>
      </w:pPr>
    </w:p>
    <w:p w:rsidR="00F12631" w:rsidRPr="00F12631" w:rsidRDefault="00F12631" w:rsidP="00F12631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 xml:space="preserve">ҰБТ жүргізу </w:t>
      </w:r>
      <w:proofErr w:type="spellStart"/>
      <w:r w:rsidRPr="00F12631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>кезіндегі</w:t>
      </w:r>
      <w:proofErr w:type="spellEnd"/>
      <w:r w:rsidRPr="00F12631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 xml:space="preserve"> тәрті</w:t>
      </w:r>
      <w:proofErr w:type="gramStart"/>
      <w:r w:rsidRPr="00F12631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>п</w:t>
      </w:r>
      <w:proofErr w:type="gramEnd"/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Тестілеудің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басталуы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жағдайда сақталуы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тәртіпке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Басқаша жағдайда түлекке нәтижелерді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жою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жоққа шығару қаупі төнеді.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Тестілеуді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түлектің сақтауы </w:t>
      </w:r>
      <w:proofErr w:type="spellStart"/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</w:t>
      </w:r>
      <w:proofErr w:type="spellEnd"/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маңызды сәттерді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атап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өтеміз.</w:t>
      </w:r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Түлекке:</w:t>
      </w:r>
    </w:p>
    <w:p w:rsidR="00F12631" w:rsidRPr="00F12631" w:rsidRDefault="00F12631" w:rsidP="00F126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сөйлесуге;</w:t>
      </w:r>
    </w:p>
    <w:p w:rsidR="00F12631" w:rsidRPr="00F12631" w:rsidRDefault="00F12631" w:rsidP="00F126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бі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орыннан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орынға ауысуға;</w:t>
      </w:r>
    </w:p>
    <w:p w:rsidR="00F12631" w:rsidRPr="00F12631" w:rsidRDefault="00F12631" w:rsidP="00F126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материалдарымен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алмасуға;</w:t>
      </w:r>
    </w:p>
    <w:p w:rsidR="00F12631" w:rsidRPr="00F12631" w:rsidRDefault="00F12631" w:rsidP="00F126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көшіруге;</w:t>
      </w:r>
    </w:p>
    <w:p w:rsidR="00F12631" w:rsidRPr="00F12631" w:rsidRDefault="00F12631" w:rsidP="00F126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ісханаға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шпаргалкаларды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басқа әдістемелік әдебиетті, калькулятор, фотоаппарат,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мобильдік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құралдарын пайдалануға  және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енгізуге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рұқсат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етілмейді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Түлектің анықталған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фактіні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бұзуы жағдайында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тексеруші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Түлекті дә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ісханадан шығару және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тыйым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салынған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заттарды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анықтау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актісін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құрастырады. Әрі қарай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тексеруші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төрағасына түлектердің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ережелерді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бұзу айғағы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хабардар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етіледі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материалдарын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тестілеуге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бөлінген уақытта түлек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тапсырудан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 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тартқан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жағдайда оның жұмысы өңделмейді сондай-ақ тестілеуге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уақыт аяқталған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бітіруші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материалдарын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тапсырудан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 тартқан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фактіні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 құрастырылады. </w:t>
      </w:r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Түлектің нәтижелерді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жоюы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күшін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жоюы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қабылданған жағдайда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өзі оқыған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үрлі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нысанында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қорытынды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аттестатауды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тапсырады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Бұнда </w:t>
      </w:r>
      <w:proofErr w:type="spellStart"/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ағымдағы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ЖОО 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құқығынан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айрылады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631" w:rsidRPr="00F12631" w:rsidRDefault="00F12631" w:rsidP="00F12631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 xml:space="preserve">ҰБТ апелляциялық </w:t>
      </w:r>
      <w:proofErr w:type="spellStart"/>
      <w:r w:rsidRPr="00F12631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>комиссиясы</w:t>
      </w:r>
      <w:proofErr w:type="spellEnd"/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бірнеше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мәрте тест тапсырмаларының сәйкессіздігі 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ғақтары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нәтижелерін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есептеудегі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техникалық ақаулар анықталады. Түлек үшін ә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 маңызды болғандықтан бірыңғай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талаптарды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сақтауды қамтамасыз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тест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тапсырмаларын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бағалауда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даулы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мәселелерді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ҰБТ қатысушыларының құқықтарын қорғау мақсатында апелляциялық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комиссиялар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құрылады.</w:t>
      </w:r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Аппеляциялық комиссияның төрағасы және құрамы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саласындағы 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әкілетті органның бұйрығымен </w:t>
      </w:r>
      <w:proofErr w:type="spellStart"/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ітеледі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Апелляциялық комиссия түлекке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балдарды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қосу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ұсыныстардың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негізділігін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қарайды және түпкілікті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шешімді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қабылдайды. </w:t>
      </w:r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Өз қызметтерін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мақсатында аппеляциялық комиссия түлектердің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парақтарының көшірмелерін, ҰБТ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ережелерін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сақтау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мәліметтерді сұратады және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Аппеляциялық комиссияның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шешімі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хаттамамен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әсімделеді, оған төраға және комиссияның барлық мүшелері қол қояды.</w:t>
      </w:r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Апелляциялық комиссияның құрамына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комиссияның мүшелері және 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ағымдағы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ҰБТ өтетін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алмайды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Апелляциялық комиссия тест тапсырмаларының мазмұны және техникалық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себептер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тестілеуге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қатысушылардан өтініштерді қабылдайды және қарастырады, түлекке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балдарды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қосу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ұсыныс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енгізеді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оны аппеляцияның нәтижелері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хабардар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12631" w:rsidRPr="00F12631" w:rsidRDefault="00F12631" w:rsidP="00F126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Аппеляцияға өтіні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апелляция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комиссиясы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төрағасының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атына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тестілеуге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қатысушының өзі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береді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Тест тапсырмаларының мазмұны және техникалық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себептер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өтініш 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нәтижелерін жариялағаннан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келесі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күні күндізгі 13.00-ге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қабылданады және апелляциялық комиссия 1 күн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қарайды. Өтініш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берушіде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өзімен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бірге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куәландыратын құжат және ҰБТ </w:t>
      </w:r>
      <w:proofErr w:type="gram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ұқсаттама болу </w:t>
      </w:r>
      <w:proofErr w:type="spellStart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F1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631" w:rsidRPr="00F12631" w:rsidRDefault="00F12631" w:rsidP="00F12631">
      <w:pPr>
        <w:rPr>
          <w:rFonts w:ascii="Times New Roman" w:hAnsi="Times New Roman" w:cs="Times New Roman"/>
          <w:sz w:val="24"/>
          <w:szCs w:val="24"/>
        </w:rPr>
      </w:pPr>
    </w:p>
    <w:sectPr w:rsidR="00F12631" w:rsidRPr="00F12631" w:rsidSect="00F126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901"/>
    <w:multiLevelType w:val="multilevel"/>
    <w:tmpl w:val="23D4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C3DF1"/>
    <w:multiLevelType w:val="multilevel"/>
    <w:tmpl w:val="1572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030D9"/>
    <w:multiLevelType w:val="multilevel"/>
    <w:tmpl w:val="8432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631"/>
    <w:rsid w:val="00A12B13"/>
    <w:rsid w:val="00F1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13"/>
  </w:style>
  <w:style w:type="paragraph" w:styleId="2">
    <w:name w:val="heading 2"/>
    <w:basedOn w:val="a"/>
    <w:link w:val="20"/>
    <w:uiPriority w:val="9"/>
    <w:qFormat/>
    <w:rsid w:val="00F12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1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2631"/>
    <w:rPr>
      <w:color w:val="0000FF"/>
      <w:u w:val="single"/>
    </w:rPr>
  </w:style>
  <w:style w:type="character" w:styleId="a4">
    <w:name w:val="Strong"/>
    <w:basedOn w:val="a0"/>
    <w:uiPriority w:val="22"/>
    <w:qFormat/>
    <w:rsid w:val="00F12631"/>
    <w:rPr>
      <w:b/>
      <w:bCs/>
    </w:rPr>
  </w:style>
  <w:style w:type="paragraph" w:styleId="a5">
    <w:name w:val="Normal (Web)"/>
    <w:basedOn w:val="a"/>
    <w:uiPriority w:val="99"/>
    <w:unhideWhenUsed/>
    <w:rsid w:val="00F1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ov.kz/cms/kk/articles/secondary_school/2Fspisok_wkol_rkegov.kz/cms/ru/articles/secondary_school/2Fspisok_wkol_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1687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2020-01-17T09:05:00Z</dcterms:created>
  <dcterms:modified xsi:type="dcterms:W3CDTF">2020-01-17T09:09:00Z</dcterms:modified>
</cp:coreProperties>
</file>