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EF" w:rsidRDefault="00AC62EF" w:rsidP="00AC62EF">
      <w:pPr>
        <w:jc w:val="center"/>
        <w:outlineLvl w:val="0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2017 – 2018 </w:t>
      </w:r>
      <w:r>
        <w:rPr>
          <w:rFonts w:ascii="Arial" w:hAnsi="Arial" w:cs="Arial"/>
          <w:b/>
          <w:sz w:val="28"/>
          <w:szCs w:val="28"/>
          <w:lang w:val="kk-KZ"/>
        </w:rPr>
        <w:t xml:space="preserve">оқу жылы бойынша «Ковалев НЖББМ» КММ </w:t>
      </w:r>
    </w:p>
    <w:p w:rsidR="00AC62EF" w:rsidRDefault="00AC62EF" w:rsidP="00AC62EF">
      <w:pPr>
        <w:jc w:val="center"/>
        <w:outlineLvl w:val="0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қаржы қызметі туралы</w:t>
      </w:r>
    </w:p>
    <w:p w:rsidR="00AC62EF" w:rsidRDefault="00AC62EF" w:rsidP="00AC62EF">
      <w:pPr>
        <w:jc w:val="center"/>
        <w:outlineLvl w:val="0"/>
        <w:rPr>
          <w:rFonts w:ascii="Arial" w:hAnsi="Arial" w:cs="Arial"/>
          <w:b/>
          <w:sz w:val="28"/>
          <w:szCs w:val="28"/>
          <w:lang w:val="kk-KZ"/>
        </w:rPr>
      </w:pPr>
    </w:p>
    <w:p w:rsidR="00AC62EF" w:rsidRPr="003D3D0C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</w:t>
      </w:r>
      <w:r w:rsidRPr="003D3D0C">
        <w:rPr>
          <w:rFonts w:ascii="Arial" w:hAnsi="Arial" w:cs="Arial"/>
          <w:sz w:val="28"/>
          <w:szCs w:val="28"/>
          <w:lang w:val="kk-KZ"/>
        </w:rPr>
        <w:t>емлекеттік жалпы білім беру стандарттарына сәйке</w:t>
      </w:r>
      <w:r>
        <w:rPr>
          <w:rFonts w:ascii="Arial" w:hAnsi="Arial" w:cs="Arial"/>
          <w:sz w:val="28"/>
          <w:szCs w:val="28"/>
          <w:lang w:val="kk-KZ"/>
        </w:rPr>
        <w:t>с білім беру деңгейлері бойынша, белгіленген талаптарды</w:t>
      </w:r>
      <w:r w:rsidRPr="003D3D0C">
        <w:rPr>
          <w:rFonts w:ascii="Arial" w:hAnsi="Arial" w:cs="Arial"/>
          <w:sz w:val="28"/>
          <w:szCs w:val="28"/>
          <w:lang w:val="kk-KZ"/>
        </w:rPr>
        <w:t xml:space="preserve"> сақтай отырып</w:t>
      </w:r>
      <w:r>
        <w:rPr>
          <w:rFonts w:ascii="Arial" w:hAnsi="Arial" w:cs="Arial"/>
          <w:sz w:val="28"/>
          <w:szCs w:val="28"/>
          <w:lang w:val="kk-KZ"/>
        </w:rPr>
        <w:t>, м</w:t>
      </w:r>
      <w:r w:rsidRPr="003D3D0C">
        <w:rPr>
          <w:rFonts w:ascii="Arial" w:hAnsi="Arial" w:cs="Arial"/>
          <w:sz w:val="28"/>
          <w:szCs w:val="28"/>
          <w:lang w:val="kk-KZ"/>
        </w:rPr>
        <w:t>емлекеттік білім беру ұйымдарын қаржыландыру бюджет қаражаты есебінен жүзеге асырылады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AC62EF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  <w:r w:rsidRPr="00B66A5C">
        <w:rPr>
          <w:rFonts w:ascii="Arial" w:hAnsi="Arial" w:cs="Arial"/>
          <w:sz w:val="28"/>
          <w:szCs w:val="28"/>
          <w:lang w:val="kk-KZ"/>
        </w:rPr>
        <w:t>Жыл сайын бір оқушыға қаржыландыру</w:t>
      </w:r>
      <w:r>
        <w:rPr>
          <w:rFonts w:ascii="Arial" w:hAnsi="Arial" w:cs="Arial"/>
          <w:sz w:val="28"/>
          <w:szCs w:val="28"/>
          <w:lang w:val="kk-KZ"/>
        </w:rPr>
        <w:t xml:space="preserve"> артуда</w:t>
      </w:r>
      <w:r w:rsidRPr="00B66A5C">
        <w:rPr>
          <w:rFonts w:ascii="Arial" w:hAnsi="Arial" w:cs="Arial"/>
          <w:sz w:val="28"/>
          <w:szCs w:val="28"/>
          <w:lang w:val="kk-KZ"/>
        </w:rPr>
        <w:t>. 2016 жылмен салыстырғанда шығындар орта есеппен 56 мың теңге</w:t>
      </w:r>
      <w:r>
        <w:rPr>
          <w:rFonts w:ascii="Arial" w:hAnsi="Arial" w:cs="Arial"/>
          <w:sz w:val="28"/>
          <w:szCs w:val="28"/>
          <w:lang w:val="kk-KZ"/>
        </w:rPr>
        <w:t>ге</w:t>
      </w:r>
      <w:r w:rsidRPr="00B66A5C">
        <w:rPr>
          <w:rFonts w:ascii="Arial" w:hAnsi="Arial" w:cs="Arial"/>
          <w:sz w:val="28"/>
          <w:szCs w:val="28"/>
          <w:lang w:val="kk-KZ"/>
        </w:rPr>
        <w:t xml:space="preserve"> өсті.</w:t>
      </w:r>
    </w:p>
    <w:p w:rsidR="00AC62EF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</w:p>
    <w:p w:rsidR="00AC62EF" w:rsidRDefault="00AC62EF" w:rsidP="00AC62EF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К</w:t>
      </w:r>
      <w:r w:rsidRPr="00850E65">
        <w:rPr>
          <w:rFonts w:ascii="Arial" w:hAnsi="Arial" w:cs="Arial"/>
          <w:b/>
          <w:sz w:val="28"/>
          <w:szCs w:val="28"/>
          <w:lang w:val="kk-KZ"/>
        </w:rPr>
        <w:t>ітапхана қорларын жаңарту үшін оқулықтарды сатып алу және жеткізу</w:t>
      </w:r>
      <w:r>
        <w:rPr>
          <w:rFonts w:ascii="Arial" w:hAnsi="Arial" w:cs="Arial"/>
          <w:b/>
          <w:sz w:val="28"/>
          <w:szCs w:val="28"/>
          <w:lang w:val="kk-KZ"/>
        </w:rPr>
        <w:t xml:space="preserve"> бойынша</w:t>
      </w:r>
      <w:r w:rsidRPr="00850E65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ш</w:t>
      </w:r>
      <w:r w:rsidRPr="00850E65">
        <w:rPr>
          <w:rFonts w:ascii="Arial" w:hAnsi="Arial" w:cs="Arial"/>
          <w:b/>
          <w:sz w:val="28"/>
          <w:szCs w:val="28"/>
          <w:lang w:val="kk-KZ"/>
        </w:rPr>
        <w:t>ығындар</w:t>
      </w:r>
    </w:p>
    <w:p w:rsidR="00AC62EF" w:rsidRDefault="00AC62EF" w:rsidP="00AC62EF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C62EF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01"/>
        <w:gridCol w:w="2367"/>
        <w:gridCol w:w="2341"/>
      </w:tblGrid>
      <w:tr w:rsidR="00AC62EF" w:rsidRPr="00C970C7" w:rsidTr="00947330">
        <w:tc>
          <w:tcPr>
            <w:tcW w:w="2392" w:type="dxa"/>
            <w:vMerge w:val="restart"/>
            <w:vAlign w:val="center"/>
          </w:tcPr>
          <w:p w:rsidR="00AC62EF" w:rsidRPr="00B66A5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Жылдар</w:t>
            </w:r>
          </w:p>
        </w:tc>
        <w:tc>
          <w:tcPr>
            <w:tcW w:w="2393" w:type="dxa"/>
            <w:vMerge w:val="restart"/>
            <w:vAlign w:val="center"/>
          </w:tcPr>
          <w:p w:rsidR="00AC62EF" w:rsidRPr="00B66A5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Жалпы соммасы</w:t>
            </w:r>
          </w:p>
        </w:tc>
        <w:tc>
          <w:tcPr>
            <w:tcW w:w="4786" w:type="dxa"/>
            <w:gridSpan w:val="2"/>
            <w:vAlign w:val="center"/>
          </w:tcPr>
          <w:p w:rsidR="00AC62EF" w:rsidRPr="00B66A5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оның ішінде</w:t>
            </w:r>
          </w:p>
        </w:tc>
      </w:tr>
      <w:tr w:rsidR="00AC62EF" w:rsidRPr="00C970C7" w:rsidTr="00947330">
        <w:tc>
          <w:tcPr>
            <w:tcW w:w="2392" w:type="dxa"/>
            <w:vMerge/>
            <w:vAlign w:val="center"/>
          </w:tcPr>
          <w:p w:rsidR="00AC62EF" w:rsidRPr="00C970C7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AC62EF" w:rsidRPr="00C970C7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C62EF" w:rsidRPr="00B66A5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Оқулықтарды сатып алу шығындары</w:t>
            </w:r>
          </w:p>
        </w:tc>
        <w:tc>
          <w:tcPr>
            <w:tcW w:w="2393" w:type="dxa"/>
            <w:vAlign w:val="center"/>
          </w:tcPr>
          <w:p w:rsidR="00AC62EF" w:rsidRPr="00B66A5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Кітапхана қорын толықтыру шығындары</w:t>
            </w:r>
          </w:p>
        </w:tc>
      </w:tr>
      <w:tr w:rsidR="00AC62EF" w:rsidRPr="00C970C7" w:rsidTr="00947330">
        <w:tc>
          <w:tcPr>
            <w:tcW w:w="2392" w:type="dxa"/>
            <w:vAlign w:val="center"/>
          </w:tcPr>
          <w:p w:rsidR="00AC62EF" w:rsidRPr="00C970C7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970C7">
              <w:rPr>
                <w:rFonts w:ascii="Arial" w:hAnsi="Arial" w:cs="Arial"/>
                <w:i/>
                <w:sz w:val="28"/>
                <w:szCs w:val="28"/>
              </w:rPr>
              <w:t>2016</w:t>
            </w:r>
          </w:p>
        </w:tc>
        <w:tc>
          <w:tcPr>
            <w:tcW w:w="2393" w:type="dxa"/>
            <w:vAlign w:val="center"/>
          </w:tcPr>
          <w:p w:rsidR="00AC62EF" w:rsidRPr="00C970C7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970C7">
              <w:rPr>
                <w:rFonts w:ascii="Arial" w:hAnsi="Arial" w:cs="Arial"/>
                <w:i/>
                <w:sz w:val="28"/>
                <w:szCs w:val="28"/>
              </w:rPr>
              <w:t>275807</w:t>
            </w:r>
          </w:p>
        </w:tc>
        <w:tc>
          <w:tcPr>
            <w:tcW w:w="2393" w:type="dxa"/>
            <w:vAlign w:val="center"/>
          </w:tcPr>
          <w:p w:rsidR="00AC62EF" w:rsidRPr="00C970C7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970C7">
              <w:rPr>
                <w:rFonts w:ascii="Arial" w:hAnsi="Arial" w:cs="Arial"/>
                <w:i/>
                <w:sz w:val="28"/>
                <w:szCs w:val="28"/>
              </w:rPr>
              <w:t>268609</w:t>
            </w:r>
          </w:p>
        </w:tc>
        <w:tc>
          <w:tcPr>
            <w:tcW w:w="2393" w:type="dxa"/>
            <w:vAlign w:val="center"/>
          </w:tcPr>
          <w:p w:rsidR="00AC62EF" w:rsidRPr="00C970C7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970C7">
              <w:rPr>
                <w:rFonts w:ascii="Arial" w:hAnsi="Arial" w:cs="Arial"/>
                <w:i/>
                <w:sz w:val="28"/>
                <w:szCs w:val="28"/>
              </w:rPr>
              <w:t>7198</w:t>
            </w:r>
          </w:p>
        </w:tc>
      </w:tr>
      <w:tr w:rsidR="00AC62EF" w:rsidRPr="00C970C7" w:rsidTr="00947330">
        <w:tc>
          <w:tcPr>
            <w:tcW w:w="2392" w:type="dxa"/>
            <w:vAlign w:val="center"/>
          </w:tcPr>
          <w:p w:rsidR="00AC62EF" w:rsidRPr="00C970C7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970C7">
              <w:rPr>
                <w:rFonts w:ascii="Arial" w:hAnsi="Arial" w:cs="Arial"/>
                <w:i/>
                <w:sz w:val="28"/>
                <w:szCs w:val="28"/>
              </w:rPr>
              <w:t>2017</w:t>
            </w:r>
          </w:p>
        </w:tc>
        <w:tc>
          <w:tcPr>
            <w:tcW w:w="2393" w:type="dxa"/>
            <w:vAlign w:val="center"/>
          </w:tcPr>
          <w:p w:rsidR="00AC62EF" w:rsidRPr="003D3D0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539359</w:t>
            </w:r>
          </w:p>
        </w:tc>
        <w:tc>
          <w:tcPr>
            <w:tcW w:w="2393" w:type="dxa"/>
            <w:vAlign w:val="center"/>
          </w:tcPr>
          <w:p w:rsidR="00AC62EF" w:rsidRPr="003D3D0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539359</w:t>
            </w:r>
          </w:p>
        </w:tc>
        <w:tc>
          <w:tcPr>
            <w:tcW w:w="2393" w:type="dxa"/>
            <w:vAlign w:val="center"/>
          </w:tcPr>
          <w:p w:rsidR="00AC62EF" w:rsidRPr="003D3D0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-</w:t>
            </w:r>
          </w:p>
        </w:tc>
      </w:tr>
      <w:tr w:rsidR="00AC62EF" w:rsidRPr="00C970C7" w:rsidTr="00947330">
        <w:tc>
          <w:tcPr>
            <w:tcW w:w="2392" w:type="dxa"/>
            <w:vAlign w:val="center"/>
          </w:tcPr>
          <w:p w:rsidR="00AC62EF" w:rsidRPr="003D3D0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C970C7">
              <w:rPr>
                <w:rFonts w:ascii="Arial" w:hAnsi="Arial" w:cs="Arial"/>
                <w:i/>
                <w:sz w:val="28"/>
                <w:szCs w:val="28"/>
              </w:rPr>
              <w:t>2018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(тапсырыс)</w:t>
            </w:r>
          </w:p>
        </w:tc>
        <w:tc>
          <w:tcPr>
            <w:tcW w:w="2393" w:type="dxa"/>
            <w:vAlign w:val="center"/>
          </w:tcPr>
          <w:p w:rsidR="00AC62EF" w:rsidRPr="003D3D0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540318</w:t>
            </w:r>
          </w:p>
        </w:tc>
        <w:tc>
          <w:tcPr>
            <w:tcW w:w="2393" w:type="dxa"/>
            <w:vAlign w:val="center"/>
          </w:tcPr>
          <w:p w:rsidR="00AC62EF" w:rsidRPr="003D3D0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-</w:t>
            </w:r>
          </w:p>
        </w:tc>
        <w:tc>
          <w:tcPr>
            <w:tcW w:w="2393" w:type="dxa"/>
            <w:vAlign w:val="center"/>
          </w:tcPr>
          <w:p w:rsidR="00AC62EF" w:rsidRPr="003D3D0C" w:rsidRDefault="00AC62EF" w:rsidP="0094733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-</w:t>
            </w:r>
          </w:p>
        </w:tc>
      </w:tr>
    </w:tbl>
    <w:p w:rsidR="00AC62EF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</w:p>
    <w:p w:rsidR="00AC62EF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  <w:r w:rsidRPr="00B66A5C">
        <w:rPr>
          <w:rFonts w:ascii="Arial" w:hAnsi="Arial" w:cs="Arial"/>
          <w:sz w:val="28"/>
          <w:szCs w:val="28"/>
          <w:lang w:val="kk-KZ"/>
        </w:rPr>
        <w:t>2017 жылы жалпы сомасы 12 млн. 656 мың теңге</w:t>
      </w:r>
      <w:r>
        <w:rPr>
          <w:rFonts w:ascii="Arial" w:hAnsi="Arial" w:cs="Arial"/>
          <w:sz w:val="28"/>
          <w:szCs w:val="28"/>
          <w:lang w:val="kk-KZ"/>
        </w:rPr>
        <w:t>ге мектептің</w:t>
      </w:r>
      <w:r w:rsidRPr="00B66A5C">
        <w:rPr>
          <w:rFonts w:ascii="Arial" w:hAnsi="Arial" w:cs="Arial"/>
          <w:sz w:val="28"/>
          <w:szCs w:val="28"/>
          <w:lang w:val="kk-KZ"/>
        </w:rPr>
        <w:t xml:space="preserve"> терезе, есік, еден ауыстыру </w:t>
      </w:r>
      <w:r>
        <w:rPr>
          <w:rFonts w:ascii="Arial" w:hAnsi="Arial" w:cs="Arial"/>
          <w:sz w:val="28"/>
          <w:szCs w:val="28"/>
          <w:lang w:val="kk-KZ"/>
        </w:rPr>
        <w:t>және спорт залын</w:t>
      </w:r>
      <w:r w:rsidRPr="00B66A5C">
        <w:rPr>
          <w:rFonts w:ascii="Arial" w:hAnsi="Arial" w:cs="Arial"/>
          <w:sz w:val="28"/>
          <w:szCs w:val="28"/>
          <w:lang w:val="kk-KZ"/>
        </w:rPr>
        <w:t xml:space="preserve"> күрделі жөндеу </w:t>
      </w:r>
      <w:r>
        <w:rPr>
          <w:rFonts w:ascii="Arial" w:hAnsi="Arial" w:cs="Arial"/>
          <w:sz w:val="28"/>
          <w:szCs w:val="28"/>
          <w:lang w:val="kk-KZ"/>
        </w:rPr>
        <w:t>жұмыстар жүргізілді.</w:t>
      </w:r>
      <w:r w:rsidRPr="00B66A5C">
        <w:rPr>
          <w:rFonts w:ascii="Arial" w:hAnsi="Arial" w:cs="Arial"/>
          <w:sz w:val="28"/>
          <w:szCs w:val="28"/>
          <w:lang w:val="kk-KZ"/>
        </w:rPr>
        <w:t xml:space="preserve">  290 мың теңге</w:t>
      </w:r>
      <w:r>
        <w:rPr>
          <w:rFonts w:ascii="Arial" w:hAnsi="Arial" w:cs="Arial"/>
          <w:sz w:val="28"/>
          <w:szCs w:val="28"/>
          <w:lang w:val="kk-KZ"/>
        </w:rPr>
        <w:t>ге</w:t>
      </w:r>
      <w:r w:rsidRPr="00B66A5C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а</w:t>
      </w:r>
      <w:r w:rsidRPr="00B66A5C">
        <w:rPr>
          <w:rFonts w:ascii="Arial" w:hAnsi="Arial" w:cs="Arial"/>
          <w:sz w:val="28"/>
          <w:szCs w:val="28"/>
          <w:lang w:val="kk-KZ"/>
        </w:rPr>
        <w:t>ғымды жөндеу</w:t>
      </w:r>
      <w:r>
        <w:rPr>
          <w:rFonts w:ascii="Arial" w:hAnsi="Arial" w:cs="Arial"/>
          <w:sz w:val="28"/>
          <w:szCs w:val="28"/>
          <w:lang w:val="kk-KZ"/>
        </w:rPr>
        <w:t xml:space="preserve"> жұмыстары жүргізілді.</w:t>
      </w:r>
      <w:r w:rsidRPr="00B66A5C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687 мың теңгеге </w:t>
      </w:r>
      <w:r w:rsidRPr="00B66A5C">
        <w:rPr>
          <w:rFonts w:ascii="Arial" w:hAnsi="Arial" w:cs="Arial"/>
          <w:sz w:val="28"/>
          <w:szCs w:val="28"/>
          <w:lang w:val="kk-KZ"/>
        </w:rPr>
        <w:t xml:space="preserve">5+1 компьютерлік сынып </w:t>
      </w:r>
      <w:r>
        <w:rPr>
          <w:rFonts w:ascii="Arial" w:hAnsi="Arial" w:cs="Arial"/>
          <w:sz w:val="28"/>
          <w:szCs w:val="28"/>
          <w:lang w:val="kk-KZ"/>
        </w:rPr>
        <w:t>с</w:t>
      </w:r>
      <w:r w:rsidRPr="00B66A5C">
        <w:rPr>
          <w:rFonts w:ascii="Arial" w:hAnsi="Arial" w:cs="Arial"/>
          <w:sz w:val="28"/>
          <w:szCs w:val="28"/>
          <w:lang w:val="kk-KZ"/>
        </w:rPr>
        <w:t xml:space="preserve">атып </w:t>
      </w:r>
      <w:r>
        <w:rPr>
          <w:rFonts w:ascii="Arial" w:hAnsi="Arial" w:cs="Arial"/>
          <w:sz w:val="28"/>
          <w:szCs w:val="28"/>
          <w:lang w:val="kk-KZ"/>
        </w:rPr>
        <w:t>алынды.</w:t>
      </w:r>
      <w:r w:rsidRPr="00B66A5C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AC62EF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  <w:r w:rsidRPr="00456AFD">
        <w:rPr>
          <w:rFonts w:ascii="Arial" w:hAnsi="Arial" w:cs="Arial"/>
          <w:sz w:val="28"/>
          <w:szCs w:val="28"/>
          <w:lang w:val="kk-KZ"/>
        </w:rPr>
        <w:t>2017 жылдың жаз маусымында күрделі жөндеу</w:t>
      </w:r>
      <w:r>
        <w:rPr>
          <w:rFonts w:ascii="Arial" w:hAnsi="Arial" w:cs="Arial"/>
          <w:sz w:val="28"/>
          <w:szCs w:val="28"/>
          <w:lang w:val="kk-KZ"/>
        </w:rPr>
        <w:t xml:space="preserve"> жұмыстарына қарамастан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жазғы демалыс ұйымдастырылған болатын</w:t>
      </w:r>
      <w:r>
        <w:rPr>
          <w:rFonts w:ascii="Arial" w:hAnsi="Arial" w:cs="Arial"/>
          <w:sz w:val="28"/>
          <w:szCs w:val="28"/>
          <w:lang w:val="kk-KZ"/>
        </w:rPr>
        <w:t xml:space="preserve">. Әлеуметтік </w:t>
      </w:r>
      <w:r w:rsidRPr="00456AFD">
        <w:rPr>
          <w:rFonts w:ascii="Arial" w:hAnsi="Arial" w:cs="Arial"/>
          <w:sz w:val="28"/>
          <w:szCs w:val="28"/>
          <w:lang w:val="kk-KZ"/>
        </w:rPr>
        <w:t>қорғалмаған отбасы</w:t>
      </w:r>
      <w:r>
        <w:rPr>
          <w:rFonts w:ascii="Arial" w:hAnsi="Arial" w:cs="Arial"/>
          <w:sz w:val="28"/>
          <w:szCs w:val="28"/>
          <w:lang w:val="kk-KZ"/>
        </w:rPr>
        <w:t>дан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14 бала </w:t>
      </w:r>
      <w:r>
        <w:rPr>
          <w:rFonts w:ascii="Arial" w:hAnsi="Arial" w:cs="Arial"/>
          <w:sz w:val="28"/>
          <w:szCs w:val="28"/>
          <w:lang w:val="kk-KZ"/>
        </w:rPr>
        <w:t>қ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амтылды. Негізгі бағыты лагерь-сауықтыру іс-шаралар өткізілді: спорттық жарыстар, таза ауадағы ойындар. Асханада –балаларға </w:t>
      </w:r>
      <w:r>
        <w:rPr>
          <w:rFonts w:ascii="Arial" w:hAnsi="Arial" w:cs="Arial"/>
          <w:sz w:val="28"/>
          <w:szCs w:val="28"/>
          <w:lang w:val="kk-KZ"/>
        </w:rPr>
        <w:t>дәрумендер,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жеміс-жидектер, сүт өнімдерімен, табиғи шырындарымен </w:t>
      </w:r>
      <w:r>
        <w:rPr>
          <w:rFonts w:ascii="Arial" w:hAnsi="Arial" w:cs="Arial"/>
          <w:sz w:val="28"/>
          <w:szCs w:val="28"/>
          <w:lang w:val="kk-KZ"/>
        </w:rPr>
        <w:t>берілді.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Павлодар қаласына 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2 сапар </w:t>
      </w:r>
      <w:r>
        <w:rPr>
          <w:rFonts w:ascii="Arial" w:hAnsi="Arial" w:cs="Arial"/>
          <w:sz w:val="28"/>
          <w:szCs w:val="28"/>
          <w:lang w:val="kk-KZ"/>
        </w:rPr>
        <w:t>ұ</w:t>
      </w:r>
      <w:r w:rsidRPr="00456AFD">
        <w:rPr>
          <w:rFonts w:ascii="Arial" w:hAnsi="Arial" w:cs="Arial"/>
          <w:sz w:val="28"/>
          <w:szCs w:val="28"/>
          <w:lang w:val="kk-KZ"/>
        </w:rPr>
        <w:t>йымдастырылған: 3D фильм</w:t>
      </w:r>
      <w:r>
        <w:rPr>
          <w:rFonts w:ascii="Arial" w:hAnsi="Arial" w:cs="Arial"/>
          <w:sz w:val="28"/>
          <w:szCs w:val="28"/>
          <w:lang w:val="kk-KZ"/>
        </w:rPr>
        <w:t>гедерге және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жағалау</w:t>
      </w:r>
      <w:r>
        <w:rPr>
          <w:rFonts w:ascii="Arial" w:hAnsi="Arial" w:cs="Arial"/>
          <w:sz w:val="28"/>
          <w:szCs w:val="28"/>
          <w:lang w:val="kk-KZ"/>
        </w:rPr>
        <w:t>ға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барды.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Потанин атындағы мұражайғ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а экскурсия ұйымдастырылды. </w:t>
      </w:r>
    </w:p>
    <w:p w:rsidR="00AC62EF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  <w:r w:rsidRPr="00456AFD">
        <w:rPr>
          <w:rFonts w:ascii="Arial" w:hAnsi="Arial" w:cs="Arial"/>
          <w:sz w:val="28"/>
          <w:szCs w:val="28"/>
          <w:lang w:val="kk-KZ"/>
        </w:rPr>
        <w:t>Жалпы сомасы 192250 теңге жұмсалған.</w:t>
      </w:r>
    </w:p>
    <w:p w:rsidR="00AC62EF" w:rsidRPr="00456AFD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  <w:r w:rsidRPr="00456AFD">
        <w:rPr>
          <w:rFonts w:ascii="Arial" w:hAnsi="Arial" w:cs="Arial"/>
          <w:sz w:val="28"/>
          <w:szCs w:val="28"/>
          <w:lang w:val="kk-KZ"/>
        </w:rPr>
        <w:t>2017-2018</w:t>
      </w:r>
      <w:r>
        <w:rPr>
          <w:rFonts w:ascii="Arial" w:hAnsi="Arial" w:cs="Arial"/>
          <w:sz w:val="28"/>
          <w:szCs w:val="28"/>
          <w:lang w:val="kk-KZ"/>
        </w:rPr>
        <w:t xml:space="preserve"> жылдың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1-жартыжылдығында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18 оқушыға </w:t>
      </w:r>
      <w:r>
        <w:rPr>
          <w:rFonts w:ascii="Arial" w:hAnsi="Arial" w:cs="Arial"/>
          <w:sz w:val="28"/>
          <w:szCs w:val="28"/>
          <w:lang w:val="kk-KZ"/>
        </w:rPr>
        <w:t>жаппай оқыту қ</w:t>
      </w:r>
      <w:r w:rsidRPr="00456AFD">
        <w:rPr>
          <w:rFonts w:ascii="Arial" w:hAnsi="Arial" w:cs="Arial"/>
          <w:sz w:val="28"/>
          <w:szCs w:val="28"/>
          <w:lang w:val="kk-KZ"/>
        </w:rPr>
        <w:t>орынан жалпы сомасы 1079000 теңге</w:t>
      </w:r>
      <w:r>
        <w:rPr>
          <w:rFonts w:ascii="Arial" w:hAnsi="Arial" w:cs="Arial"/>
          <w:sz w:val="28"/>
          <w:szCs w:val="28"/>
          <w:lang w:val="kk-KZ"/>
        </w:rPr>
        <w:t>ге және "Мектепке Жол акциясы бойынша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15 оқушыға сомасына 265000 теңге</w:t>
      </w:r>
      <w:r>
        <w:rPr>
          <w:rFonts w:ascii="Arial" w:hAnsi="Arial" w:cs="Arial"/>
          <w:sz w:val="28"/>
          <w:szCs w:val="28"/>
          <w:lang w:val="kk-KZ"/>
        </w:rPr>
        <w:t>ге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көмек көрсетілді.</w:t>
      </w:r>
    </w:p>
    <w:p w:rsidR="00AC62EF" w:rsidRPr="00456AFD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  <w:r w:rsidRPr="00456AFD">
        <w:rPr>
          <w:rFonts w:ascii="Arial" w:hAnsi="Arial" w:cs="Arial"/>
          <w:sz w:val="28"/>
          <w:szCs w:val="28"/>
          <w:lang w:val="kk-KZ"/>
        </w:rPr>
        <w:t xml:space="preserve">2018 жылға жоспарланған: </w:t>
      </w:r>
      <w:r>
        <w:rPr>
          <w:rFonts w:ascii="Arial" w:hAnsi="Arial" w:cs="Arial"/>
          <w:sz w:val="28"/>
          <w:szCs w:val="28"/>
          <w:lang w:val="kk-KZ"/>
        </w:rPr>
        <w:t xml:space="preserve">шатырды </w:t>
      </w:r>
      <w:r w:rsidRPr="00456AFD">
        <w:rPr>
          <w:rFonts w:ascii="Arial" w:hAnsi="Arial" w:cs="Arial"/>
          <w:sz w:val="28"/>
          <w:szCs w:val="28"/>
          <w:lang w:val="kk-KZ"/>
        </w:rPr>
        <w:t>өртке қарсы препараттармен өткізу (шамамен құны 212 мың теңге), ішінара жөндеу қазандығын ауыстыру; консольды сорғылар (үлгі жөндеу құны 300 мың теңге), ағымдағы жөндеу, мектеп, шағын-орталық( жалпы сомасы - 300 мың тг)</w:t>
      </w:r>
    </w:p>
    <w:p w:rsidR="00AC62EF" w:rsidRPr="00850E65" w:rsidRDefault="00AC62EF" w:rsidP="00AC62EF">
      <w:pPr>
        <w:ind w:firstLine="708"/>
        <w:jc w:val="both"/>
        <w:outlineLvl w:val="0"/>
        <w:rPr>
          <w:rFonts w:ascii="Arial" w:hAnsi="Arial" w:cs="Arial"/>
          <w:sz w:val="28"/>
          <w:szCs w:val="28"/>
          <w:lang w:val="kk-KZ"/>
        </w:rPr>
      </w:pPr>
      <w:r w:rsidRPr="00456AFD">
        <w:rPr>
          <w:rFonts w:ascii="Arial" w:hAnsi="Arial" w:cs="Arial"/>
          <w:sz w:val="28"/>
          <w:szCs w:val="28"/>
          <w:lang w:val="kk-KZ"/>
        </w:rPr>
        <w:lastRenderedPageBreak/>
        <w:t>Сондай-ақ, жыл сайын өндірістік бақылау жалпы сомасы 180 мың теңге</w:t>
      </w:r>
      <w:r>
        <w:rPr>
          <w:rFonts w:ascii="Arial" w:hAnsi="Arial" w:cs="Arial"/>
          <w:sz w:val="28"/>
          <w:szCs w:val="28"/>
          <w:lang w:val="kk-KZ"/>
        </w:rPr>
        <w:t>,</w:t>
      </w:r>
      <w:r w:rsidRPr="00456AFD">
        <w:rPr>
          <w:rFonts w:ascii="Arial" w:hAnsi="Arial" w:cs="Arial"/>
          <w:sz w:val="28"/>
          <w:szCs w:val="28"/>
          <w:lang w:val="kk-KZ"/>
        </w:rPr>
        <w:t xml:space="preserve"> СЭС </w:t>
      </w:r>
      <w:r>
        <w:rPr>
          <w:rFonts w:ascii="Arial" w:hAnsi="Arial" w:cs="Arial"/>
          <w:sz w:val="28"/>
          <w:szCs w:val="28"/>
          <w:lang w:val="kk-KZ"/>
        </w:rPr>
        <w:t>нормаларын сақтау.</w:t>
      </w:r>
    </w:p>
    <w:p w:rsidR="00AC62EF" w:rsidRPr="00850E65" w:rsidRDefault="00AC62EF" w:rsidP="00AC62E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AC62EF" w:rsidRPr="00850E65" w:rsidRDefault="00AC62EF" w:rsidP="00AC62E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AC62EF" w:rsidRDefault="00AC62EF" w:rsidP="00AC62E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AC62EF" w:rsidRDefault="00AC62EF" w:rsidP="00AC62E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AC62EF" w:rsidRDefault="00AC62EF" w:rsidP="00AC62E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A43572" w:rsidRPr="00AC62EF" w:rsidRDefault="00A43572">
      <w:pPr>
        <w:rPr>
          <w:lang w:val="kk-KZ"/>
        </w:rPr>
      </w:pPr>
      <w:bookmarkStart w:id="0" w:name="_GoBack"/>
      <w:bookmarkEnd w:id="0"/>
    </w:p>
    <w:sectPr w:rsidR="00A43572" w:rsidRPr="00AC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6A"/>
    <w:rsid w:val="00500D6A"/>
    <w:rsid w:val="00A43572"/>
    <w:rsid w:val="00A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46325-F08E-42DA-8059-E52828F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2018-02-23T10:03:00Z</dcterms:created>
  <dcterms:modified xsi:type="dcterms:W3CDTF">2018-02-23T10:03:00Z</dcterms:modified>
</cp:coreProperties>
</file>